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450</w:t>
      </w:r>
    </w:p>
    <w:p>
      <w:r>
        <w:t>Bundesgericht (BGE), 2004-06-23, DE</w:t>
      </w:r>
    </w:p>
    <w:p>
      <w:r>
        <w:rPr>
          <w:b/>
        </w:rPr>
        <w:t xml:space="preserve">Quelle: </w:t>
      </w:r>
      <w:r>
        <w:t>https://mcp.opencaselaw.ch/entscheid/bge_130 III 450</w:t>
      </w:r>
    </w:p>
    <w:p>
      <w:r>
        <w:t>FR: ATF 130 III 450</w:t>
      </w:r>
    </w:p>
    <w:p>
      <w:r>
        <w:t>IT: DTF 130 III 450</w:t>
      </w:r>
    </w:p>
    <w:p>
      <w:pPr>
        <w:pStyle w:val="Heading2"/>
      </w:pPr>
      <w:r>
        <w:t>Regeste</w:t>
      </w:r>
    </w:p>
    <w:p>
      <w:r>
        <w:t>Regeste Bauliche Massnahmen des Stockwerkeigentümers (Art. 712a und 712b ZGB); Änderung der Zweckbestimmung einer Sache (Art. 648 Abs. 2 ZGB). Die Freiheit des Stockwerkeigentümers in der baulichen Ausgestaltung seiner eigenen Räume setzt deren Ausscheidung zu Sonderrecht voraus; der eigenmächtige Eingriff in gemeinschaftliche Teile ist unstatthaft (E. 1). Das Umfunktionieren von Nebenräumen wie Estrich, Keller oder Garage in Wohnräume stellt keine Zweckänderung, wohl aber eine Nutzungsänderung dar (E. 2).</w:t>
      </w:r>
    </w:p>
    <w:p>
      <w:pPr>
        <w:pStyle w:val="Heading2"/>
      </w:pPr>
      <w:r>
        <w:t>Erwägungen</w:t>
      </w:r>
    </w:p>
    <w:p>
      <w:r>
        <w:rPr>
          <w:b/>
        </w:rPr>
        <w:t>E. 1</w:t>
      </w:r>
    </w:p>
    <w:p>
      <w:r>
        <w:t>Der Kläger macht vorab geltend, das Obergericht habe mit seinem Entscheid Art. 712a Abs. 2 und Art. 712b ZGB verletzt.</w:t>
      </w:r>
    </w:p>
    <w:p>
      <w:r>
        <w:rPr>
          <w:b/>
        </w:rPr>
        <w:t>E. 1.1</w:t>
      </w:r>
    </w:p>
    <w:p>
      <w:r>
        <w:t>Der Kläger geht bei seinen Ausführungen davon aus, dass die durchbrochenen und versetzten Wände in seinem Sonderrecht standen. Das Obergericht hat diesbezüglich für das Bundesgericht verbindlich festgestellt ( Art. 63 Abs. 2 OG ), dass auf dem als integrierender Bestandteil der Begründungsurkunde bezeichneten Plan F die Wände zwischen Wohnung, Waschküche und Estrich im Unterschied zu denjenigen innerhalb der Wohnung unkoloriert sind. BGE 130 III 450 S. 453 Sodann hat es in diesem Zusammenhang die Begründungsurkunde erwähnt, in der festgehalten wird: "Die zu Sondereigentum im Sinne von Art. 712a Abs. 1 und Art. 712b ZGB ausgeschiedenen Räume sind in dieser Urkunde und damit übereinstimmend mit den Plänen B, C, D, E, F, mit einer Anteilsnummer und verschiedenen Farben gekennzeichnet. Die gemeinschaftlichen Räumlichkeiten und Gebäudeteile sind nicht nummeriert und in den Plänen nicht koloriert." Wie das Obergericht richtig gefolgert hat, lässt dies keinen anderen Schluss zu, als dass die durchbrochenen bzw. versetzten Wände zwischen der Wohnung und den zugehörigen Nebenräumen im gemeinschaftlichen Eigentum standen. Nach den gesetzlichen Bestimmungen können in der Begründungserklärung beliebige Teile zu gemeinschaftlichem Eigentum erklärt werden (vgl. Art. 712b Abs. 3 ZGB ), und entgegen der Behauptung des Klägers ist die getroffene Lösung auch nicht unvernünftig: Alle sechs Stockwerkeinheiten bestehen aus einer Wohnung und Nebenräumen. Während die Mauern innerhalb der Wohnungen in der Regel zu Sonderrecht ausgeschieden sein müssen, andernfalls der Stockeigentümer von der Befugnis, seine Räume baulich frei auszugestalten, keinen Gebrauch machen könnte, muss dies für die Mauern, welche die Wohneinheit von den ihr dienenden Nebenräumen trennt, nicht der Fall sein, sind jene doch sonderrechtsfähig, ohne dass sie direkt mit der Haupteinheit verbunden sein müssen (MEIER-HAYOZ/REY, Berner Kommentar, N. 66 zu Art. 712b ZGB ; REY, Schweizerisches Stockwerkeigentum, 2. Aufl., Zürich 2001, N. 88). Offensichtlich sollte mit der gemäss Begründungsakt festgelegten Aufteilung die Stockwerkeinheit Nr. 6, bei der die Nebenräume im Unterschied zu den anderen Einheiten an die Wohnung angrenzen, keine spezielle Lösung getroffen und deshalb an den Mauern, welche die Wohnung und die Nebenräume umgeben, (ebenfalls) kein Sonderrecht begründet werden.</w:t>
      </w:r>
    </w:p>
    <w:p>
      <w:r>
        <w:rPr>
          <w:b/>
        </w:rPr>
        <w:t>E. 1.2</w:t>
      </w:r>
    </w:p>
    <w:p>
      <w:r>
        <w:t>Der Kläger macht sodann geltend, er dürfe die ihm zu Sonderrecht zugewiesene Einheit beliebig nutzen und baulich ausgestalten. Der Stockwerkeigentümer ist in der baulichen Ausgestaltung seiner eigenen, d.h. der zu Sonderrecht ausgeschiedenen Räume frei, darf jedoch keinem anderen Stockwerkeigentümer die Ausübung des gleichen Rechts erschweren oder gemeinschaftliche Bauteile, BGE 130 III 450 S. 454 Anlagen und Einrichtungen beschädigen oder in ihrer Funktion und äusseren Erscheinung beeinträchtigen ( Art. 712a Abs. 2 ZGB ). Obwohl diese Bestimmung einzig den Innenausbau betrifft (MEIER-HAYOZ/REY, a.a.O., N. 61 zu Art. 712a ZGB ), glaubt der Kläger aus der doppelten Unterlassungspflicht ableiten zu können, eigenmächtige Eingriffe seien auch in gemeinsame Teile gestattet, wenn die anderen Stockwerkeigentümer dadurch keine Nachteile erlitten. Dieser Auffassung kann nicht gefolgt werden: Bei den genannten Unterlassungspflichten handelt es sich um unmittelbare gesetzliche Eigentumsbeschränkungen (MEIER-HAYOZ/REY, a.a.O., N. 72 zu Art. 712a ZGB ). Daraus lässt sich nicht durch Umkehrschluss die Befugnis des Stockwerkeigentümers zu eigenmächtigen Erneuerungs- oder Umbauarbeiten an gemeinschaftlichen Teilen herleiten, selbst wenn damit keine Beschädigungen oder Beeinträchtigungen verbunden sind. Dies wäre mit der gesetzlichen Zuständigkeitsregelung in Bezug auf die gemeinschaftliche Teile betreffenden Verwaltungshandlungen und baulichen Massnahmen nicht vereinbar. Diesbezüglich wird in Art. 712g Abs. 1 ZGB auf die Bestimmungen über das Miteigentum ( Art. 647a-647e ZGB ) verwiesen. Demnach bedürfen nützliche bauliche Massnahmen der Zustimmung der Mehrheit aller Miteigentümer, die zugleich den grösseren Teil der Sache vertritt ( Art. 647d Abs. 1 ZGB ), und der Verschönerung und Bequemlichkeit dienende Massnahmen der Zustimmung aller Miteigentümer ( Art. 647e Abs. 1 ZGB ). Diese Bestimmungen machen keinerlei Vorbehalte zu Gunsten eigenmächtiger baulicher Massnahmen. Unbehilflich ist daher das Argument, die durch die baulichen Massnahmen erfolgte Vergrösserung der Wohnfläche lasse keine übermässigen Immissionen erwarten. Durfte aber der Kläger nicht eigenmächtig in die gemeinschaftlichen Bauteile eingreifen, besteht entgegen seiner Behauptung auch kein Raum für eine Abwägung zwischen den Interessen des bauenden und der anderen Stockwerkeigentümer. In gleicher Weise verkennt der Kläger die Tragweite von Art. 712a Abs. 2 ZGB , wenn er glaubt, die übrigen Stockwerkeigentümer dürften ihm den Einbau von Dachfenstern nicht verwehren, weil sie als Eigentümer tiefer liegender Wohnungen das Dach gar nicht in dieser Weise nutzen könnten: Das Dach steht von Gesetzes wegen im gemeinschaftlichen Eigentum ( Art. 712b Abs. 2 Ziff. 2 ZGB ; MEIER-HAYOZ/REY, a.a.O., N. 15 zu Art. 712b ZGB ) und Dachfenster prägen das äussere Erscheinungsbild der Liegenschaft, weshalb BGE 130 III 450 S. 455 ein Stockwerkeigentümer solche baulichen Massnahmen von vornherein nicht eigenmächtig durchführen darf. Ebenso wenig verfängt die mit Bezug auf die Dachfenster vorgebrachte Argumentation, das Reglement erlaube die Benutzung des gemeinsamen Eigentums, soweit dies mit den Interessen der Gemeinschaft vereinbar sei: Die Benutzung schliesst vom Wortsinn her eine Veränderung der Sache bzw. einen Eingriff in die Substanz aus; das Reglement geht somit nicht weiter als Art. 712a ZGB .</w:t>
      </w:r>
    </w:p>
    <w:p>
      <w:r>
        <w:rPr>
          <w:b/>
        </w:rPr>
        <w:t>E. 1.3</w:t>
      </w:r>
    </w:p>
    <w:p>
      <w:r>
        <w:t>Ist eine eigenmächtige bauliche Veränderung gemeinschaftlicher Teile unstatthaft, wird der Antrag auf Rückweisung an die Vorinstanz zur Beweisführung über die Intensität des Eingriffs und zur Vornahme einer Interessenabwägung gegenstandslos.</w:t>
      </w:r>
    </w:p>
    <w:p>
      <w:r>
        <w:rPr>
          <w:b/>
        </w:rPr>
        <w:t>E. 2</w:t>
      </w:r>
    </w:p>
    <w:p>
      <w:r>
        <w:t>entstanden. Die grössere und besser ausgebaute Wohnung sei auf eine erweiterte Nutzung durch mehr Personen ausgelegt, was zu tendenziell höheren Immissionen und einer tendenziell erhöhten Inanspruchnahme der Infrastruktur des Hauses (Heizung, Wasser, etc.) führe. Zwar könne der Verteilerschlüssel für die Kosten bzw. könnten die Wertquoten entsprechend angepasst werden; dies ändere aber nichts daran, dass die Nutzungserweiterung durch den Kläger einen massiven Eingriff in die durch den Begründungsakt und das Reglement geschaffene Ordnung und damit in die dort festgelegten Rechte und Pflichten der Stockwerkeigentümer bedeute.</w:t>
      </w:r>
    </w:p>
    <w:p>
      <w:r>
        <w:rPr>
          <w:b/>
        </w:rPr>
        <w:t>E. 2.1</w:t>
      </w:r>
    </w:p>
    <w:p>
      <w:r>
        <w:t>Soweit der Kläger festhält, die Umwandlung eines Estrichs oder einer Waschküche in Wohnraum berühre den Zweck einer Wohnbaute nicht, ist ihm zuzustimmen, vermag doch eine solche bauliche Massnahme weder den Charakter der Liegenschaft zu verändern noch die übrigen Stockwerkeigentümer im zweckgemässen Gebrauch ihrer Einheit zu hindern oder einzuschränken. Das Obergericht ist denn bei seiner Begründung auch nicht von einer Zweckänderung der Liegenschaft im Sinn von Art. 648 Abs. 2 ZGB , sondern von einer reglementswidrigen Nutzungsänderung der Nebenräume ausgegangen.</w:t>
      </w:r>
    </w:p>
    <w:p>
      <w:r>
        <w:rPr>
          <w:b/>
        </w:rPr>
        <w:t>E. 2.2</w:t>
      </w:r>
    </w:p>
    <w:p>
      <w:r>
        <w:t>Im Einzelnen hat das Obergericht ausgeführt, im Begrün dungsakt und im Reglement werde unter ausdrücklichem Hinweis auf die für die Aufteilung massgebenden, einen integrierenden Bestandteil bildenden Grundrisspläne als Anteil Nr. 6 ein Sonderrecht an der 2-Zimmer-Wohnung mit Waschküchenabteil und Estrich im 3. Stock aufgeführt. Wenn im Begründungsakt und im Reglement die Räume ausdrücklich zu einer Sondernutzung als 2-Zimmer-Wohnung mit den Nebenräumen Waschküche und Estrich ausgeschieden seien, so habe sich der betroffene Eigentümer daran zu halten. Mit den vom Kläger vorgenommenen baulichen Massnahmen sei jedoch aus einer 2-Zimmer-Wohnung mit 68,4 m</w:t>
      </w:r>
    </w:p>
    <w:p>
      <w:r>
        <w:rPr>
          <w:b/>
        </w:rPr>
        <w:t>E. 2.3</w:t>
      </w:r>
    </w:p>
    <w:p>
      <w:r>
        <w:t>Der Kläger unterstellt dem Obergericht sinngemäss, dass es damit im Ergebnis doch von einer Zweckänderung ausgehe. Dies trifft jedoch aus zwei Gründen nicht zu: Zum einen kann das Reglement Nutzungsbeschränkungen vorsehen, soweit diese das Sonderrecht des Stockwerkeigentümers in seinem Wesensgehalt nicht aushöhlen (vgl. BGE 111 II 330 ). Als zulässige Nutzungsbeschränkungen gelten nach der Lehre etwa das Verbot, mit Geräuschen oder Gerüchen verbundene Tätigkeiten auszuüben, grössere Haustiere zu halten oder bestimmte Instrumente zu spielen, nicht aber ein allgemeines Verbot, Besuche zu empfangen (vgl. MEIER-HAYOZ/REY, a.a.O., N. 44 ff. zu Art. 712a ZGB ). Zum andern kann sich eine Nutzungsbeschränkung aber auch daraus ergeben, dass bestimmte Räume ihrer Funktion nach in einem Subordinationsverhältnis zur Haupteinheit stehen (MEIER-HAYOZ/REY, a.a.O., N. 66 zu Art. 712b ZGB ; Rey, a.a.O., N. 88). Als der Hauptsache dienende Nebenräume werden sie nach der Verkehrsanschauung denn auch nicht als Zimmer oder zur Nettowohnfläche gezählt, und sie haben auf das Verhältnis der Wertquoten keinen oder nur einen ganz untergeordneten Einfluss. Dennoch unterliegen sie nicht anders als die Haupträume dem Zweck, dem die Liegenschaft oder die einzelne Stockwerkeinheit gewidmet ist. So bringt es beispielsweise der Wohnzweck mit sich, dass Dinge verstaut, Kleider gewaschen oder Fahrzeuge abgestellt werden müssen. Die entsprechenden Nebenräume (Keller bzw. Estrich, Waschküche, Garage) sind jedoch, wie das Obergericht zutreffend festgehalten hat, reglementskonform zu gebrauchen; es geht nicht an, dass ein Stockwerkeigentümer, ohne einen entsprechenden Beschluss der Gemeinschaft zu erwirken, eine Garage dauernd in ein Kinderzimmer oder einen BGE 130 III 450 S. 457 Estrich in ein Wohnzimmer umfunktioniert, weil die Nebenräume damit ihrer dienenden Funktion enthoben würden.</w:t>
      </w:r>
    </w:p>
    <w:p>
      <w:r>
        <w:rPr>
          <w:b/>
        </w:rPr>
        <w:t>E. 2.4</w:t>
      </w:r>
    </w:p>
    <w:p>
      <w:r>
        <w:t>Nichts kann der Kläger schliesslich aus BGE 111 II 330 für sich ableiten: Damals hatte das Bundesgericht die Frage zu beurteilen, ob die reglementarische Vorschrift, einen bestimmten Stockwerkeigentumsanteil nur als Museum und desgleichen nutzen zu dürfen, eine mit dem Bundesrecht zu vereinbarende Nutzungsbeschränkung sei, und zwar vor dem Hintergrund, dass die Liegenschaft als solche für Wohnzwecke bestimmt war und das Reglement die Führung einer ruhigen Büropraxis ausdrücklich zuliess. Das Bundesgericht erachtete die Nutzungsbeschränkung als unverhältnismässig und mit dem gesetzlichen Sonderrecht des Stockwerkeigentümers unvereinbar, und es schützte die Klage des Erwerbers des Stockwerkeigentumsanteils, der darin statt eines Museums eine Anwaltspraxis und einen Verlag zu betreiben beabsichtigte (E. 9 S. 342 oben). In BGE 111 II 330 ging es um die Möglichkeit, einen Stockwerkeigentumsanteil überhaupt sinnvoll nutzen zu können. Im vorliegenden Fall kann jedoch keine Rede davon sein, dass der Kläger seine 2-Zimmer-Wohnung als das, was sie war, nämlich als 2-Zimmer-Wohnung, nicht sinnvoll hätte nutzen können. Dass hierfür eine Verdoppelung der Wohnfläche notwendig gewesen wäre, behauptet jedenfalls auch der Kläger nicht.</w:t>
      </w:r>
    </w:p>
    <w:p>
      <w:r>
        <w:rPr>
          <w:b/>
        </w:rPr>
        <w:t>E. 2.5</w:t>
      </w:r>
    </w:p>
    <w:p>
      <w:r>
        <w:t>Verstösst die Umnutzung der Nebenräume gegen den Begründungsakt und das Reglement, kann sie nicht ohne entsprechenden Beschluss der Gemeinschaft vorgenommen werden. Das angefochtene Urteil erweist sich auch insofern als bundesrechtskonform, als der Rückbau der - nicht in gemeinsame Bauteile eingreifenden - Nasszelle im Estrich angeordnet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